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129/ĐHBK-PCTSV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161/TB-VP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88% khối lượng công việc. Tổng kinh phí đã giải ngân là 4.972.000.000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VỤ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