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LÂM ĐỒNG</w:t>
            </w:r>
            <w:r>
              <w:rPr>
                <w:rFonts w:ascii="Times New Roman" w:hAnsi="Times New Roman" w:eastAsia="Times New Roman"/>
                <w:b w:val="0"/>
                <w:i w:val="0"/>
                <w:sz w:val="26"/>
              </w:rPr>
              <w:br/>
              <w:t>-------</w:t>
              <w:br/>
              <w:t>Số: 168/UBND-STC</w:t>
            </w:r>
            <w:r>
              <w:rPr>
                <w:rFonts w:ascii="Times New Roman" w:hAnsi="Times New Roman" w:eastAsia="Times New Roman"/>
                <w:b/>
                <w:i w:val="0"/>
                <w:sz w:val="24"/>
              </w:rPr>
              <w:br/>
              <w:t>V/v hướng dẫn thực hiện quy chế chuyển đổi số quốc gia</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Lâm Đồng, ngày 1 tháng 5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ỦY BAN NHÂN DÂN TỈNH LÂM ĐỒNG hướng dẫn các đơn vị trực thuộc thực hiện quy chế chuyển đổi số quốc gia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ỦY BAN NHÂN DÂN TỈNH LÂM ĐỒNG trước ngày 16/05/2024.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br/>
              <w:t>TRƯỞNG PHÒNG</w:t>
            </w:r>
            <w: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