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27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663/TB-VP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78% khối lượng công việc. Tổng kinh phí đã giải ngân là 158.000.000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