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189/UBND-VPU</w:t>
            </w:r>
            <w:r>
              <w:rPr>
                <w:rFonts w:ascii="Times New Roman" w:hAnsi="Times New Roman" w:eastAsia="Times New Roman"/>
                <w:b/>
                <w:i w:val="0"/>
                <w:sz w:val="24"/>
              </w:rPr>
              <w:br/>
              <w:t>V/v đề nghị cấp bổ sung kinh phí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12 tháng 2 năm 2024</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tổ chức thi tuyển công chức trong năm 2024, ỦY BAN NHÂN DÂN TỈNH LÂM ĐỒNG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198.000.000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VPU.</w:t>
            </w:r>
          </w:p>
        </w:tc>
        <w:tc>
          <w:tcPr>
            <w:tcW w:type="dxa" w:w="4320"/>
          </w:tcPr>
          <w:p>
            <w:pPr>
              <w:jc w:val="center"/>
            </w:pPr>
            <w:r>
              <w:rPr>
                <w:rFonts w:ascii="Times New Roman" w:hAnsi="Times New Roman" w:eastAsia="Times New Roman"/>
                <w:b/>
                <w:i w:val="0"/>
                <w:sz w:val="26"/>
              </w:rPr>
              <w:t>KT. GIÁM ĐỐC</w:t>
              <w:br/>
              <w:t>CỤC TRƯỞNG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