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302/SYT-PNVY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giải ngân vốn đầu tư công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18/09/2023.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