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340/ĐHBK-PCTSV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345/TB-VP về việc báo cáo tiến độ quy hoạch đô thị,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53% khối lượng công việc. Tổng kinh phí đã giải ngân là 3.846.000.000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