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429/BTC-KBNN</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5 tháng 9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Để đảm bảo tính thống nhất trong toàn hệ thống, BỘ TÀI CHÍNH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TÀI CHÍNH trước ngày 20/09/2024.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KBNN.</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