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508/BGDĐT-CQLCL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200/TB-VP về việc báo cáo tiến độ quy hoạch đô thị,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86% khối lượng công việc. Tổng kinh phí đã giải ngân là 3.783.000.000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CQLCL.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