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519/UBND-SXD</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30 tháng 11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đảm bảo an ninh trật tự trong năm 2024, ỦY BAN NHÂN DÂN TỈNH LÂM ĐỒNG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3.078.000.000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SXD.</w:t>
            </w:r>
          </w:p>
        </w:tc>
        <w:tc>
          <w:tcPr>
            <w:tcW w:type="dxa" w:w="4320"/>
          </w:tcPr>
          <w:p>
            <w:pPr>
              <w:jc w:val="center"/>
            </w:pPr>
            <w:r>
              <w:rPr>
                <w:rFonts w:ascii="Times New Roman" w:hAnsi="Times New Roman" w:eastAsia="Times New Roman"/>
                <w:b/>
                <w:i w:val="0"/>
                <w:sz w:val="26"/>
              </w:rPr>
              <w:t>GIÁM ĐỐC</w:t>
              <w:br/>
              <w:t>CỤC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