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521/UBND-STC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14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206/TB-VP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86% khối lượng công việc. Tổng kinh phí đã giải ngân là 3.946.000.000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