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576/ĐHBK-PĐT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966/TB-VP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56% khối lượng công việc. Tổng kinh phí đã giải ngân là 1.479.000.000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