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587/SYT-PNVY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giải ngân vốn đầu tư công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2.486.000.000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