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BỘ TÀI CHÍNH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596/BTC-KBNN</w:t>
            </w: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br/>
              <w:t>V/v báo cáo tình hình thực hiện quy hoạch đô thị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Hà Nội, ngày 8 tháng 12 năm 2023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Kính gửi: Sở Kế hoạch và Đầu tư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Thực hiện chỉ đạo của Lãnh đạo Bộ tại văn bản số 108/TB-VP về việc báo cáo tiến độ quy hoạch đô thị, BỘ TÀI CHÍNH xin báo cáo kết quả thực hiện như sau: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1. Kết quả đạt được: Đã hoàn thành 61% khối lượng công việc. Tổng kinh phí đã giải ngân là 429.000.000 đồng.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2. Khó khăn, vướng mắc: Công tác giải phóng mặt bằng còn chậm do vướng mắc về cơ chế đền bù.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3. Đề xuất, kiến nghị: Kính đề nghị Sở Kế hoạch và Đầu tư xem xét, tháo gỡ khó khăn nêu trên để dự án kịp tiến độ.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VT, KBNN.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TL. BỘ TRƯỞNG</w:t>
              <w:br/>
              <w:t>CHÁNH VĂN PHÒNG</w:t>
            </w:r>
            <w:r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Nguyễn Văn An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