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068/2026/HDT-CÔN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141 m2 tại tầng 2,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200.000.000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2 năm, bắt đầu từ ngày 26/10/2024.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