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080/2026/HDT-CÔN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158 m2 tại tầng 18,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165.000.000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1 năm, bắt đầu từ ngày 28/06/2023.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