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082/2026/HDT-CÔN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138 m2 tại tầng 4,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188.000.000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3 năm, bắt đầu từ ngày 13/02/2023.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