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152/2026/HDT-CÔN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65 m2 tại tầng 5,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344.000.000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2 năm, bắt đầu từ ngày 25/07/2024.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