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BÌNH DƯƠNG</w:t>
            </w:r>
            <w:r>
              <w:rPr>
                <w:rFonts w:ascii="Times New Roman" w:hAnsi="Times New Roman" w:eastAsia="Times New Roman"/>
                <w:b w:val="0"/>
                <w:i w:val="0"/>
                <w:sz w:val="26"/>
              </w:rPr>
              <w:br/>
              <w:t>-------</w:t>
              <w:br/>
              <w:t>Số: 047/QĐ-UBND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30 tháng 8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'Cải tạo cảnh quan khuôn viên'. Đơn vị trúng thầu là Công ty Cổ phần Xây dựng Số 1, giá trúng thầu là 135.000.000 đồng, thời gian thực hiện hợp đồng là 155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CHỦ TỊCH</w:t>
            </w:r>
            <w:r>
              <w:br/>
              <w:br/>
              <w:br/>
              <w:br/>
            </w:r>
            <w:r>
              <w:rPr>
                <w:rFonts w:ascii="Times New Roman" w:hAnsi="Times New Roman" w:eastAsia="Times New Roman"/>
                <w:b/>
                <w:i w:val="0"/>
                <w:sz w:val="26"/>
              </w:rPr>
              <w:t>Ngô Bảo Châu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