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KẾ HOẠCH VÀ ĐẦU TƯ</w:t>
            </w:r>
            <w:r>
              <w:rPr>
                <w:rFonts w:ascii="Times New Roman" w:hAnsi="Times New Roman" w:eastAsia="Times New Roman"/>
                <w:b w:val="0"/>
                <w:i w:val="0"/>
                <w:sz w:val="26"/>
              </w:rPr>
              <w:br/>
              <w:t>-------</w:t>
              <w:br/>
              <w:t>Số: 065/QĐ-KHVĐT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25 tháng 5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Nguyễn Văn An, chức vụ Chuyên viên thuộc Trung tâm Hỗ trợ sinh viên, do đã vi phạm quy định về quy tắc ứng xử nghề nghiệp.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KẾ HOẠCH VÀ ĐẦU TƯ</w:t>
              <w:br/>
              <w:t>VỤ TRƯỞNG VỤ TỔ CHỨC CÁN BỘ</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