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autofit"/>
        <w:tblLook w:firstColumn="1" w:firstRow="1" w:lastColumn="0" w:lastRow="0" w:noHBand="0" w:noVBand="1" w:val="04A0"/>
      </w:tblPr>
      <w:tblGrid>
        <w:gridCol w:w="4320"/>
        <w:gridCol w:w="4320"/>
      </w:tblGrid>
      <w:tr>
        <w:tc>
          <w:tcPr>
            <w:tcW w:type="dxa" w:w="4320"/>
          </w:tcPr>
          <w:p>
            <w:pPr>
              <w:jc w:val="center"/>
            </w:pPr>
            <w:r>
              <w:rPr>
                <w:rFonts w:ascii="Times New Roman" w:hAnsi="Times New Roman" w:eastAsia="Times New Roman"/>
                <w:b/>
                <w:i w:val="0"/>
                <w:sz w:val="26"/>
              </w:rPr>
              <w:t>BỘ CÔNG THƯƠNG</w:t>
            </w:r>
            <w:r>
              <w:rPr>
                <w:rFonts w:ascii="Times New Roman" w:hAnsi="Times New Roman" w:eastAsia="Times New Roman"/>
                <w:b w:val="0"/>
                <w:i w:val="0"/>
                <w:sz w:val="26"/>
              </w:rPr>
              <w:br/>
              <w:t>-------</w:t>
              <w:br/>
              <w:t>Số: 148/QĐ-CT</w:t>
            </w:r>
          </w:p>
        </w:tc>
        <w:tc>
          <w:tcPr>
            <w:tcW w:type="dxa" w:w="4320"/>
          </w:tcPr>
          <w:p>
            <w:pPr>
              <w:jc w:val="center"/>
            </w:pPr>
            <w:r>
              <w:rPr>
                <w:rFonts w:ascii="Times New Roman" w:hAnsi="Times New Roman" w:eastAsia="Times New Roman"/>
                <w:b/>
                <w:i w:val="0"/>
                <w:sz w:val="24"/>
              </w:rPr>
              <w:t>CỘNG HÒA XÃ HỘI CHỦ NGHĨA VIỆT NAM</w:t>
            </w:r>
            <w:r>
              <w:rPr>
                <w:rFonts w:ascii="Times New Roman" w:hAnsi="Times New Roman" w:eastAsia="Times New Roman"/>
                <w:b/>
                <w:i w:val="0"/>
                <w:sz w:val="26"/>
              </w:rPr>
              <w:br/>
              <w:t>Độc lập - Tự do - Hạnh phúc</w:t>
            </w:r>
            <w:r>
              <w:rPr>
                <w:rFonts w:ascii="Times New Roman" w:hAnsi="Times New Roman" w:eastAsia="Times New Roman"/>
                <w:b w:val="0"/>
                <w:i/>
                <w:sz w:val="26"/>
              </w:rPr>
              <w:br/>
              <w:t>-------</w:t>
              <w:br/>
              <w:t>Hà Nội, ngày 9 tháng 9 năm 2020</w:t>
            </w:r>
          </w:p>
        </w:tc>
      </w:tr>
    </w:tbl>
    <w:p/>
    <w:p>
      <w:pPr>
        <w:jc w:val="center"/>
      </w:pPr>
      <w:r>
        <w:rPr>
          <w:rFonts w:ascii="Times New Roman" w:hAnsi="Times New Roman" w:eastAsia="Times New Roman"/>
          <w:b/>
          <w:i w:val="0"/>
          <w:sz w:val="30"/>
        </w:rPr>
        <w:t>QUYẾT ĐỊNH</w:t>
      </w:r>
    </w:p>
    <w:p>
      <w:pPr>
        <w:jc w:val="center"/>
      </w:pPr>
      <w:r>
        <w:rPr>
          <w:rFonts w:ascii="Times New Roman" w:hAnsi="Times New Roman" w:eastAsia="Times New Roman"/>
          <w:b/>
          <w:i w:val="0"/>
          <w:sz w:val="28"/>
        </w:rPr>
        <w:t>Về việc phê duyệt dự toán kinh phí</w:t>
      </w:r>
    </w:p>
    <w:p/>
    <w:p>
      <w:pPr>
        <w:jc w:val="both"/>
      </w:pPr>
      <w:r>
        <w:rPr>
          <w:rFonts w:ascii="Times New Roman" w:hAnsi="Times New Roman" w:eastAsia="Times New Roman"/>
          <w:b w:val="0"/>
          <w:i/>
          <w:sz w:val="26"/>
        </w:rPr>
        <w:t>Căn cứ Nghị định số 123/2016/NĐ-CP quy định chức năng, nhiệm vụ của Bộ;</w:t>
      </w:r>
    </w:p>
    <w:p>
      <w:pPr>
        <w:jc w:val="both"/>
      </w:pPr>
      <w:r>
        <w:rPr>
          <w:rFonts w:ascii="Times New Roman" w:hAnsi="Times New Roman" w:eastAsia="Times New Roman"/>
          <w:b w:val="0"/>
          <w:i/>
          <w:sz w:val="26"/>
        </w:rPr>
        <w:t>Căn cứ Luật Cán bộ, công chức năm 2008;</w:t>
      </w:r>
    </w:p>
    <w:p>
      <w:pPr>
        <w:jc w:val="both"/>
      </w:pPr>
      <w:r>
        <w:rPr>
          <w:rFonts w:ascii="Times New Roman" w:hAnsi="Times New Roman" w:eastAsia="Times New Roman"/>
          <w:b w:val="0"/>
          <w:i/>
          <w:sz w:val="26"/>
        </w:rPr>
        <w:t>Căn cứ Luật Kế toán năm 2015;</w:t>
      </w:r>
    </w:p>
    <w:p>
      <w:r>
        <w:rPr>
          <w:rFonts w:ascii="Times New Roman" w:hAnsi="Times New Roman" w:eastAsia="Times New Roman"/>
          <w:b w:val="0"/>
          <w:i w:val="0"/>
          <w:sz w:val="26"/>
        </w:rPr>
        <w:t>Theo đề nghị của Trưởng phòng Tổ chức - Hành chính.</w:t>
      </w:r>
    </w:p>
    <w:p>
      <w:pPr>
        <w:jc w:val="center"/>
      </w:pPr>
      <w:r>
        <w:rPr>
          <w:rFonts w:ascii="Times New Roman" w:hAnsi="Times New Roman" w:eastAsia="Times New Roman"/>
          <w:b/>
          <w:i w:val="0"/>
          <w:sz w:val="28"/>
        </w:rPr>
        <w:t>QUYẾT ĐỊNH:</w:t>
      </w:r>
    </w:p>
    <w:p>
      <w:pPr>
        <w:jc w:val="both"/>
      </w:pPr>
      <w:r>
        <w:rPr>
          <w:rFonts w:ascii="Times New Roman" w:hAnsi="Times New Roman" w:eastAsia="Times New Roman"/>
          <w:b/>
          <w:i w:val="0"/>
          <w:sz w:val="26"/>
        </w:rPr>
        <w:t xml:space="preserve">Điều 1. </w:t>
      </w:r>
      <w:r>
        <w:rPr>
          <w:rFonts w:ascii="Times New Roman" w:hAnsi="Times New Roman" w:eastAsia="Times New Roman"/>
          <w:b w:val="0"/>
          <w:i w:val="0"/>
          <w:sz w:val="26"/>
        </w:rPr>
        <w:t>Phê duyệt dự toán kinh phí thực hiện dự án 'Cải tạo cảnh quan khuôn viên' với tổng số tiền là 685.000.000 đồng. Nguồn kinh phí được trích từ nguồn chi thường xuyên năm 2024.</w:t>
      </w:r>
    </w:p>
    <w:p>
      <w:r>
        <w:rPr>
          <w:rFonts w:ascii="Times New Roman" w:hAnsi="Times New Roman" w:eastAsia="Times New Roman"/>
          <w:b/>
          <w:i w:val="0"/>
          <w:sz w:val="26"/>
        </w:rPr>
        <w:t xml:space="preserve">Điều 2. </w:t>
      </w:r>
      <w:r>
        <w:rPr>
          <w:rFonts w:ascii="Times New Roman" w:hAnsi="Times New Roman" w:eastAsia="Times New Roman"/>
          <w:b w:val="0"/>
          <w:i w:val="0"/>
          <w:sz w:val="26"/>
        </w:rPr>
        <w:t>Quyết định này có hiệu lực kể từ ngày ký.</w:t>
      </w:r>
    </w:p>
    <w:p>
      <w:pPr>
        <w:jc w:val="both"/>
      </w:pPr>
      <w:r>
        <w:rPr>
          <w:rFonts w:ascii="Times New Roman" w:hAnsi="Times New Roman" w:eastAsia="Times New Roman"/>
          <w:b/>
          <w:i w:val="0"/>
          <w:sz w:val="26"/>
        </w:rPr>
        <w:t xml:space="preserve">Điều 3. </w:t>
      </w:r>
      <w:r>
        <w:rPr>
          <w:rFonts w:ascii="Times New Roman" w:hAnsi="Times New Roman" w:eastAsia="Times New Roman"/>
          <w:b w:val="0"/>
          <w:i w:val="0"/>
          <w:sz w:val="26"/>
        </w:rPr>
        <w:t>Chánh Văn phòng, Trưởng các đơn vị liên quan và các ông/bà có tên tại Điều 1 chịu trách nhiệm thi hành Quyết định này./.</w:t>
      </w:r>
    </w:p>
    <w:p/>
    <w:tbl>
      <w:tblPr>
        <w:tblW w:type="auto" w:w="0"/>
        <w:tblLook w:firstColumn="1" w:firstRow="1" w:lastColumn="0" w:lastRow="0" w:noHBand="0" w:noVBand="1" w:val="04A0"/>
      </w:tblPr>
      <w:tblGrid>
        <w:gridCol w:w="4320"/>
        <w:gridCol w:w="4320"/>
      </w:tblGrid>
      <w:tr>
        <w:tc>
          <w:tcPr>
            <w:tcW w:type="dxa" w:w="4320"/>
          </w:tcPr>
          <w:p>
            <w:r>
              <w:rPr>
                <w:rFonts w:ascii="Times New Roman" w:hAnsi="Times New Roman" w:eastAsia="Times New Roman"/>
                <w:b/>
                <w:i/>
                <w:sz w:val="24"/>
              </w:rPr>
              <w:t>Nơi nhận:</w:t>
            </w:r>
            <w:r>
              <w:rPr>
                <w:rFonts w:ascii="Times New Roman" w:hAnsi="Times New Roman" w:eastAsia="Times New Roman"/>
                <w:b w:val="0"/>
                <w:i w:val="0"/>
                <w:sz w:val="22"/>
              </w:rPr>
              <w:br/>
              <w:t>- Như Điều 3;</w:t>
              <w:br/>
              <w:t>- Lưu: VT, PC.</w:t>
            </w:r>
          </w:p>
        </w:tc>
        <w:tc>
          <w:tcPr>
            <w:tcW w:type="dxa" w:w="4320"/>
          </w:tcPr>
          <w:p>
            <w:pPr>
              <w:jc w:val="center"/>
            </w:pPr>
            <w:r>
              <w:rPr>
                <w:rFonts w:ascii="Times New Roman" w:hAnsi="Times New Roman" w:eastAsia="Times New Roman"/>
                <w:b/>
                <w:i w:val="0"/>
                <w:sz w:val="26"/>
              </w:rPr>
              <w:t>TM. BỘ CÔNG THƯƠNG</w:t>
              <w:br/>
              <w:t>VỤ TRƯỞNG VỤ TỔ CHỨC CÁN BỘ</w:t>
            </w:r>
            <w:r>
              <w:br/>
              <w:br/>
              <w:br/>
              <w:br/>
            </w:r>
            <w:r>
              <w:rPr>
                <w:rFonts w:ascii="Times New Roman" w:hAnsi="Times New Roman" w:eastAsia="Times New Roman"/>
                <w:b/>
                <w:i w:val="0"/>
                <w:sz w:val="26"/>
              </w:rPr>
              <w:t>Trần Thị Bích</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