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173/QĐ-GDVĐT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8 cá nhân thuộc Phòng Hành chính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