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196/QĐ-GDVĐT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20 cá nhân thuộc Phòng Hành chính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