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HÀ GIANG</w:t>
            </w:r>
            <w:r>
              <w:rPr>
                <w:rFonts w:ascii="Times New Roman" w:hAnsi="Times New Roman" w:eastAsia="Times New Roman"/>
                <w:b w:val="0"/>
                <w:i w:val="0"/>
                <w:sz w:val="26"/>
              </w:rPr>
              <w:br/>
              <w:t>-------</w:t>
              <w:br/>
              <w:t>Số: 302/QĐ-UBND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Đồng Nai, ngày 5 tháng 11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14 cá nhân thuộc Trung tâm Hỗ trợ sinh viên đã có thành tích xuất sắc trong phong trào 'Toàn dân bảo vệ an ninh tổ quốc'.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CHỦ TỊCH</w:t>
            </w:r>
            <w:r>
              <w:br/>
              <w:br/>
              <w:br/>
              <w:br/>
            </w:r>
            <w:r>
              <w:rPr>
                <w:rFonts w:ascii="Times New Roman" w:hAnsi="Times New Roman" w:eastAsia="Times New Roman"/>
                <w:b/>
                <w:i w:val="0"/>
                <w:sz w:val="26"/>
              </w:rPr>
              <w:t>Ngô Bảo Châu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