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HÀ GIANG</w:t>
            </w:r>
            <w:r>
              <w:rPr>
                <w:rFonts w:ascii="Times New Roman" w:hAnsi="Times New Roman" w:eastAsia="Times New Roman"/>
                <w:b w:val="0"/>
                <w:i w:val="0"/>
                <w:sz w:val="26"/>
              </w:rPr>
              <w:br/>
              <w:t>-------</w:t>
              <w:br/>
              <w:t>Số: 308/QĐ-UBND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Đồng Nai, ngày 24 tháng 12 năm 2024</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'Cải tạo cảnh quan khuôn viên' với tổng số tiền là 90.000.000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PHÓ CHỦ TỊCH</w:t>
            </w:r>
            <w:r>
              <w:br/>
              <w:br/>
              <w:br/>
              <w:br/>
            </w:r>
            <w:r>
              <w:rPr>
                <w:rFonts w:ascii="Times New Roman" w:hAnsi="Times New Roman" w:eastAsia="Times New Roman"/>
                <w:b/>
                <w:i w:val="0"/>
                <w:sz w:val="26"/>
              </w:rPr>
              <w:t>Vũ Quốc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