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317/QĐ-KHVĐT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831.000.000 đồng, thời gian thực hiện hợp đồng là 99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