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346/QĐ-TC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831.000.000 đồng, thời gian thực hiện hợp đồng là 30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