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CÔNG THƯƠNG</w:t>
            </w:r>
            <w:r>
              <w:rPr>
                <w:rFonts w:ascii="Times New Roman" w:hAnsi="Times New Roman" w:eastAsia="Times New Roman"/>
                <w:b w:val="0"/>
                <w:i w:val="0"/>
                <w:sz w:val="26"/>
              </w:rPr>
              <w:br/>
              <w:t>-------</w:t>
              <w:br/>
              <w:t>Số: 423/QĐ-CT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28 tháng 3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thi hành kỷ luật viên chức</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Thi hành kỷ luật bằng hình thức Cảnh cáo đối với ông/bà Lê Văn Cường, chức vụ Chuyên viên thuộc Khoa Công nghệ thông tin, do đã vi phạm quy định về thực hiện giờ giấc làm việc. Thời gian thi hành kỷ luật là 12 tháng.</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CÔNG THƯƠNG</w:t>
              <w:br/>
              <w:t>THỨ TRƯỞNG</w:t>
            </w:r>
            <w:r>
              <w:b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