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455/QĐ-ĐHBK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114.000.000 đồng, thời gian thực hiện hợp đồng là 47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