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i w:val="0"/>
                <w:sz w:val="26"/>
              </w:rPr>
              <w:t>ỦY BAN NHÂN DÂN</w:t>
              <w:br/>
              <w:t>TỈNH HÀ GIANG</w:t>
            </w:r>
            <w:r>
              <w:rPr>
                <w:rFonts w:ascii="Times New Roman" w:hAnsi="Times New Roman" w:eastAsia="Times New Roman"/>
                <w:b w:val="0"/>
                <w:i w:val="0"/>
                <w:sz w:val="26"/>
              </w:rPr>
              <w:br/>
              <w:t>-------</w:t>
              <w:br/>
              <w:t>Số: 483/QĐ-UBND</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Hà Nội, ngày 8 tháng 10 năm 2020</w:t>
            </w:r>
          </w:p>
        </w:tc>
      </w:tr>
    </w:tbl>
    <w:p/>
    <w:p>
      <w:pPr>
        <w:jc w:val="center"/>
      </w:pPr>
      <w:r>
        <w:rPr>
          <w:rFonts w:ascii="Times New Roman" w:hAnsi="Times New Roman" w:eastAsia="Times New Roman"/>
          <w:b/>
          <w:i w:val="0"/>
          <w:sz w:val="30"/>
        </w:rPr>
        <w:t>QUYẾT ĐỊNH</w:t>
      </w:r>
    </w:p>
    <w:p>
      <w:pPr>
        <w:jc w:val="center"/>
      </w:pPr>
      <w:r>
        <w:rPr>
          <w:rFonts w:ascii="Times New Roman" w:hAnsi="Times New Roman" w:eastAsia="Times New Roman"/>
          <w:b/>
          <w:i w:val="0"/>
          <w:sz w:val="28"/>
        </w:rPr>
        <w:t>Về việc phê duyệt dự toán kinh phí</w:t>
      </w:r>
    </w:p>
    <w:p/>
    <w:p>
      <w:pPr>
        <w:jc w:val="both"/>
      </w:pPr>
      <w:r>
        <w:rPr>
          <w:rFonts w:ascii="Times New Roman" w:hAnsi="Times New Roman" w:eastAsia="Times New Roman"/>
          <w:b w:val="0"/>
          <w:i/>
          <w:sz w:val="26"/>
        </w:rPr>
        <w:t>Căn cứ Luật Tổ chức chính quyền địa phương ngày 19/6/2015;</w:t>
      </w:r>
    </w:p>
    <w:p>
      <w:pPr>
        <w:jc w:val="both"/>
      </w:pPr>
      <w:r>
        <w:rPr>
          <w:rFonts w:ascii="Times New Roman" w:hAnsi="Times New Roman" w:eastAsia="Times New Roman"/>
          <w:b w:val="0"/>
          <w:i/>
          <w:sz w:val="26"/>
        </w:rPr>
        <w:t>Căn cứ Luật Ngân sách nhà nước năm 2015;</w:t>
      </w:r>
    </w:p>
    <w:p>
      <w:pPr>
        <w:jc w:val="both"/>
      </w:pPr>
      <w:r>
        <w:rPr>
          <w:rFonts w:ascii="Times New Roman" w:hAnsi="Times New Roman" w:eastAsia="Times New Roman"/>
          <w:b w:val="0"/>
          <w:i/>
          <w:sz w:val="26"/>
        </w:rPr>
        <w:t>Căn cứ Luật Kế toán năm 2015;</w:t>
      </w:r>
    </w:p>
    <w:p>
      <w:r>
        <w:rPr>
          <w:rFonts w:ascii="Times New Roman" w:hAnsi="Times New Roman" w:eastAsia="Times New Roman"/>
          <w:b w:val="0"/>
          <w:i w:val="0"/>
          <w:sz w:val="26"/>
        </w:rPr>
        <w:t>Theo đề nghị của Trưởng phòng Tổ chức - Hành chính.</w:t>
      </w:r>
    </w:p>
    <w:p>
      <w:pPr>
        <w:jc w:val="center"/>
      </w:pPr>
      <w:r>
        <w:rPr>
          <w:rFonts w:ascii="Times New Roman" w:hAnsi="Times New Roman" w:eastAsia="Times New Roman"/>
          <w:b/>
          <w:i w:val="0"/>
          <w:sz w:val="28"/>
        </w:rPr>
        <w:t>QUYẾT ĐỊNH:</w:t>
      </w:r>
    </w:p>
    <w:p>
      <w:pPr>
        <w:jc w:val="both"/>
      </w:pPr>
      <w:r>
        <w:rPr>
          <w:rFonts w:ascii="Times New Roman" w:hAnsi="Times New Roman" w:eastAsia="Times New Roman"/>
          <w:b/>
          <w:i w:val="0"/>
          <w:sz w:val="26"/>
        </w:rPr>
        <w:t xml:space="preserve">Điều 1. </w:t>
      </w:r>
      <w:r>
        <w:rPr>
          <w:rFonts w:ascii="Times New Roman" w:hAnsi="Times New Roman" w:eastAsia="Times New Roman"/>
          <w:b w:val="0"/>
          <w:i w:val="0"/>
          <w:sz w:val="26"/>
        </w:rPr>
        <w:t>Phê duyệt dự toán kinh phí thực hiện dự án 'Mua sắm trang thiết bị giảng dạy' với tổng số tiền là 513.000.000 đồng. Nguồn kinh phí được trích từ nguồn chi thường xuyên năm 2024.</w:t>
      </w:r>
    </w:p>
    <w:p>
      <w:r>
        <w:rPr>
          <w:rFonts w:ascii="Times New Roman" w:hAnsi="Times New Roman" w:eastAsia="Times New Roman"/>
          <w:b/>
          <w:i w:val="0"/>
          <w:sz w:val="26"/>
        </w:rPr>
        <w:t xml:space="preserve">Điều 2. </w:t>
      </w:r>
      <w:r>
        <w:rPr>
          <w:rFonts w:ascii="Times New Roman" w:hAnsi="Times New Roman" w:eastAsia="Times New Roman"/>
          <w:b w:val="0"/>
          <w:i w:val="0"/>
          <w:sz w:val="26"/>
        </w:rPr>
        <w:t>Quyết định này có hiệu lực kể từ ngày ký.</w:t>
      </w:r>
    </w:p>
    <w:p>
      <w:pPr>
        <w:jc w:val="both"/>
      </w:pPr>
      <w:r>
        <w:rPr>
          <w:rFonts w:ascii="Times New Roman" w:hAnsi="Times New Roman" w:eastAsia="Times New Roman"/>
          <w:b/>
          <w:i w:val="0"/>
          <w:sz w:val="26"/>
        </w:rPr>
        <w:t xml:space="preserve">Điều 3. </w:t>
      </w:r>
      <w:r>
        <w:rPr>
          <w:rFonts w:ascii="Times New Roman" w:hAnsi="Times New Roman" w:eastAsia="Times New Roman"/>
          <w:b w:val="0"/>
          <w:i w:val="0"/>
          <w:sz w:val="26"/>
        </w:rPr>
        <w:t>Chánh Văn phòng, Trưởng các đơn vị liên quan và các ông/bà có tên tại Điều 1 chịu trách nhiệm thi hành Quyết định này./.</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Điều 3;</w:t>
              <w:br/>
              <w:t>- Lưu: VT, PC.</w:t>
            </w:r>
          </w:p>
        </w:tc>
        <w:tc>
          <w:tcPr>
            <w:tcW w:type="dxa" w:w="4320"/>
          </w:tcPr>
          <w:p>
            <w:pPr>
              <w:jc w:val="center"/>
            </w:pPr>
            <w:r>
              <w:rPr>
                <w:rFonts w:ascii="Times New Roman" w:hAnsi="Times New Roman" w:eastAsia="Times New Roman"/>
                <w:b/>
                <w:i w:val="0"/>
                <w:sz w:val="26"/>
              </w:rPr>
              <w:t>TM. ỦY BAN NHÂN DÂN</w:t>
              <w:br/>
              <w:t>PHÓ CHỦ TỊCH</w:t>
            </w:r>
            <w:r>
              <w:br/>
              <w:br/>
              <w:br/>
              <w:br/>
            </w:r>
            <w:r>
              <w:rPr>
                <w:rFonts w:ascii="Times New Roman" w:hAnsi="Times New Roman" w:eastAsia="Times New Roman"/>
                <w:b/>
                <w:i w:val="0"/>
                <w:sz w:val="26"/>
              </w:rPr>
              <w:t>Hoàng Thị Em</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