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ayout w:type="autofit"/>
        <w:tblLook w:firstColumn="1" w:firstRow="1" w:lastColumn="0" w:lastRow="0" w:noHBand="0" w:noVBand="1" w:val="04A0"/>
      </w:tblPr>
      <w:tblGrid>
        <w:gridCol w:w="4320"/>
        <w:gridCol w:w="4320"/>
      </w:tblGrid>
      <w:tr>
        <w:tc>
          <w:tcPr>
            <w:tcW w:type="dxa" w:w="4320"/>
          </w:tcPr>
          <w:p>
            <w:pPr>
              <w:jc w:val="center"/>
            </w:pPr>
            <w:r>
              <w:rPr>
                <w:rFonts w:ascii="Times New Roman" w:hAnsi="Times New Roman" w:eastAsia="Times New Roman"/>
                <w:b/>
                <w:i w:val="0"/>
                <w:sz w:val="26"/>
              </w:rPr>
              <w:t>ỦY BAN NHÂN DÂN</w:t>
              <w:br/>
              <w:t>TỈNH BÌNH DƯƠNG</w:t>
            </w:r>
            <w:r>
              <w:rPr>
                <w:rFonts w:ascii="Times New Roman" w:hAnsi="Times New Roman" w:eastAsia="Times New Roman"/>
                <w:b w:val="0"/>
                <w:i w:val="0"/>
                <w:sz w:val="26"/>
              </w:rPr>
              <w:br/>
              <w:t>-------</w:t>
              <w:br/>
              <w:t>Số: 506/QĐ-UBND</w:t>
            </w:r>
          </w:p>
        </w:tc>
        <w:tc>
          <w:tcPr>
            <w:tcW w:type="dxa" w:w="4320"/>
          </w:tcPr>
          <w:p>
            <w:pPr>
              <w:jc w:val="center"/>
            </w:pPr>
            <w:r>
              <w:rPr>
                <w:rFonts w:ascii="Times New Roman" w:hAnsi="Times New Roman" w:eastAsia="Times New Roman"/>
                <w:b/>
                <w:i w:val="0"/>
                <w:sz w:val="24"/>
              </w:rPr>
              <w:t>CỘNG HÒA XÃ HỘI CHỦ NGHĨA VIỆT NAM</w:t>
            </w:r>
            <w:r>
              <w:rPr>
                <w:rFonts w:ascii="Times New Roman" w:hAnsi="Times New Roman" w:eastAsia="Times New Roman"/>
                <w:b/>
                <w:i w:val="0"/>
                <w:sz w:val="26"/>
              </w:rPr>
              <w:br/>
              <w:t>Độc lập - Tự do - Hạnh phúc</w:t>
            </w:r>
            <w:r>
              <w:rPr>
                <w:rFonts w:ascii="Times New Roman" w:hAnsi="Times New Roman" w:eastAsia="Times New Roman"/>
                <w:b w:val="0"/>
                <w:i/>
                <w:sz w:val="26"/>
              </w:rPr>
              <w:br/>
              <w:t>-------</w:t>
              <w:br/>
              <w:t>Bình Dương, ngày 17 tháng 8 năm 2023</w:t>
            </w:r>
          </w:p>
        </w:tc>
      </w:tr>
    </w:tbl>
    <w:p/>
    <w:p>
      <w:pPr>
        <w:jc w:val="center"/>
      </w:pPr>
      <w:r>
        <w:rPr>
          <w:rFonts w:ascii="Times New Roman" w:hAnsi="Times New Roman" w:eastAsia="Times New Roman"/>
          <w:b/>
          <w:i w:val="0"/>
          <w:sz w:val="30"/>
        </w:rPr>
        <w:t>QUYẾT ĐỊNH</w:t>
      </w:r>
    </w:p>
    <w:p>
      <w:pPr>
        <w:jc w:val="center"/>
      </w:pPr>
      <w:r>
        <w:rPr>
          <w:rFonts w:ascii="Times New Roman" w:hAnsi="Times New Roman" w:eastAsia="Times New Roman"/>
          <w:b/>
          <w:i w:val="0"/>
          <w:sz w:val="28"/>
        </w:rPr>
        <w:t>Về việc tặng Bằng khen cho tập thể và cá nhân</w:t>
      </w:r>
    </w:p>
    <w:p/>
    <w:p>
      <w:pPr>
        <w:jc w:val="both"/>
      </w:pPr>
      <w:r>
        <w:rPr>
          <w:rFonts w:ascii="Times New Roman" w:hAnsi="Times New Roman" w:eastAsia="Times New Roman"/>
          <w:b w:val="0"/>
          <w:i/>
          <w:sz w:val="26"/>
        </w:rPr>
        <w:t>Căn cứ Luật Tổ chức chính quyền địa phương ngày 19/6/2015;</w:t>
      </w:r>
    </w:p>
    <w:p>
      <w:pPr>
        <w:jc w:val="both"/>
      </w:pPr>
      <w:r>
        <w:rPr>
          <w:rFonts w:ascii="Times New Roman" w:hAnsi="Times New Roman" w:eastAsia="Times New Roman"/>
          <w:b w:val="0"/>
          <w:i/>
          <w:sz w:val="26"/>
        </w:rPr>
        <w:t>Căn cứ Luật Ngân sách nhà nước năm 2015;</w:t>
      </w:r>
    </w:p>
    <w:p>
      <w:r>
        <w:rPr>
          <w:rFonts w:ascii="Times New Roman" w:hAnsi="Times New Roman" w:eastAsia="Times New Roman"/>
          <w:b w:val="0"/>
          <w:i w:val="0"/>
          <w:sz w:val="26"/>
        </w:rPr>
        <w:t>Theo đề nghị của Trưởng phòng Tổ chức - Hành chính.</w:t>
      </w:r>
    </w:p>
    <w:p>
      <w:pPr>
        <w:jc w:val="center"/>
      </w:pPr>
      <w:r>
        <w:rPr>
          <w:rFonts w:ascii="Times New Roman" w:hAnsi="Times New Roman" w:eastAsia="Times New Roman"/>
          <w:b/>
          <w:i w:val="0"/>
          <w:sz w:val="28"/>
        </w:rPr>
        <w:t>QUYẾT ĐỊNH:</w:t>
      </w:r>
    </w:p>
    <w:p>
      <w:pPr>
        <w:jc w:val="both"/>
      </w:pPr>
      <w:r>
        <w:rPr>
          <w:rFonts w:ascii="Times New Roman" w:hAnsi="Times New Roman" w:eastAsia="Times New Roman"/>
          <w:b/>
          <w:i w:val="0"/>
          <w:sz w:val="26"/>
        </w:rPr>
        <w:t xml:space="preserve">Điều 1. </w:t>
      </w:r>
      <w:r>
        <w:rPr>
          <w:rFonts w:ascii="Times New Roman" w:hAnsi="Times New Roman" w:eastAsia="Times New Roman"/>
          <w:b w:val="0"/>
          <w:i w:val="0"/>
          <w:sz w:val="26"/>
        </w:rPr>
        <w:t>Tặng Bằng khen cho 5 tập thể và 18 cá nhân thuộc Ban Quản lý dự án đã có thành tích xuất sắc trong phong trào 'Xây dựng nông thôn mới'. Danh sách chi tiết kèm theo Quyết định này.</w:t>
      </w:r>
    </w:p>
    <w:p>
      <w:r>
        <w:rPr>
          <w:rFonts w:ascii="Times New Roman" w:hAnsi="Times New Roman" w:eastAsia="Times New Roman"/>
          <w:b/>
          <w:i w:val="0"/>
          <w:sz w:val="26"/>
        </w:rPr>
        <w:t xml:space="preserve">Điều 2. </w:t>
      </w:r>
      <w:r>
        <w:rPr>
          <w:rFonts w:ascii="Times New Roman" w:hAnsi="Times New Roman" w:eastAsia="Times New Roman"/>
          <w:b w:val="0"/>
          <w:i w:val="0"/>
          <w:sz w:val="26"/>
        </w:rPr>
        <w:t>Quyết định này có hiệu lực kể từ ngày ký.</w:t>
      </w:r>
    </w:p>
    <w:p>
      <w:pPr>
        <w:jc w:val="both"/>
      </w:pPr>
      <w:r>
        <w:rPr>
          <w:rFonts w:ascii="Times New Roman" w:hAnsi="Times New Roman" w:eastAsia="Times New Roman"/>
          <w:b/>
          <w:i w:val="0"/>
          <w:sz w:val="26"/>
        </w:rPr>
        <w:t xml:space="preserve">Điều 3. </w:t>
      </w:r>
      <w:r>
        <w:rPr>
          <w:rFonts w:ascii="Times New Roman" w:hAnsi="Times New Roman" w:eastAsia="Times New Roman"/>
          <w:b w:val="0"/>
          <w:i w:val="0"/>
          <w:sz w:val="26"/>
        </w:rPr>
        <w:t>Chánh Văn phòng, Trưởng các đơn vị liên quan và các ông/bà có tên tại Điều 1 chịu trách nhiệm thi hành Quyết định này./.</w:t>
      </w:r>
    </w:p>
    <w:p/>
    <w:tbl>
      <w:tblPr>
        <w:tblW w:type="auto" w:w="0"/>
        <w:tblLook w:firstColumn="1" w:firstRow="1" w:lastColumn="0" w:lastRow="0" w:noHBand="0" w:noVBand="1" w:val="04A0"/>
      </w:tblPr>
      <w:tblGrid>
        <w:gridCol w:w="4320"/>
        <w:gridCol w:w="4320"/>
      </w:tblGrid>
      <w:tr>
        <w:tc>
          <w:tcPr>
            <w:tcW w:type="dxa" w:w="4320"/>
          </w:tcPr>
          <w:p>
            <w:r>
              <w:rPr>
                <w:rFonts w:ascii="Times New Roman" w:hAnsi="Times New Roman" w:eastAsia="Times New Roman"/>
                <w:b/>
                <w:i/>
                <w:sz w:val="24"/>
              </w:rPr>
              <w:t>Nơi nhận:</w:t>
            </w:r>
            <w:r>
              <w:rPr>
                <w:rFonts w:ascii="Times New Roman" w:hAnsi="Times New Roman" w:eastAsia="Times New Roman"/>
                <w:b w:val="0"/>
                <w:i w:val="0"/>
                <w:sz w:val="22"/>
              </w:rPr>
              <w:br/>
              <w:t>- Như Điều 3;</w:t>
              <w:br/>
              <w:t>- Lưu: VT, PC.</w:t>
            </w:r>
          </w:p>
        </w:tc>
        <w:tc>
          <w:tcPr>
            <w:tcW w:type="dxa" w:w="4320"/>
          </w:tcPr>
          <w:p>
            <w:pPr>
              <w:jc w:val="center"/>
            </w:pPr>
            <w:r>
              <w:rPr>
                <w:rFonts w:ascii="Times New Roman" w:hAnsi="Times New Roman" w:eastAsia="Times New Roman"/>
                <w:b/>
                <w:i w:val="0"/>
                <w:sz w:val="26"/>
              </w:rPr>
              <w:t>TM. ỦY BAN NHÂN DÂN</w:t>
              <w:br/>
              <w:t>CHỦ TỊCH</w:t>
            </w:r>
            <w:r>
              <w:br/>
              <w:br/>
              <w:br/>
              <w:br/>
            </w:r>
            <w:r>
              <w:rPr>
                <w:rFonts w:ascii="Times New Roman" w:hAnsi="Times New Roman" w:eastAsia="Times New Roman"/>
                <w:b/>
                <w:i w:val="0"/>
                <w:sz w:val="26"/>
              </w:rPr>
              <w:t>Vũ Quốc Hưng</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