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CÔNG THƯƠNG</w:t>
            </w:r>
            <w:r>
              <w:rPr>
                <w:rFonts w:ascii="Times New Roman" w:hAnsi="Times New Roman" w:eastAsia="Times New Roman"/>
                <w:b w:val="0"/>
                <w:i w:val="0"/>
                <w:sz w:val="26"/>
              </w:rPr>
              <w:br/>
              <w:t>-------</w:t>
              <w:br/>
              <w:t>Số: 535/QĐ-CT</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10 tháng 8 năm 2020</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phê duyệt kết quả lựa chọn nhà thầu</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pPr>
        <w:jc w:val="both"/>
      </w:pPr>
      <w:r>
        <w:rPr>
          <w:rFonts w:ascii="Times New Roman" w:hAnsi="Times New Roman" w:eastAsia="Times New Roman"/>
          <w:b w:val="0"/>
          <w:i/>
          <w:sz w:val="26"/>
        </w:rPr>
        <w:t>Căn cứ Luật Đấu thầu năm 2013;</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Phê duyệt kết quả lựa chọn nhà thầu gói thầu 'Chuyển đổi số toàn diện'. Đơn vị trúng thầu là Công ty TNHH Thương mại Dịch vụ B, giá trúng thầu là 699.000.000 đồng, thời gian thực hiện hợp đồng là 123 ngày.</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CÔNG THƯƠNG</w:t>
              <w:br/>
              <w:t>THỨ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