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CÔNG THƯƠNG</w:t>
            </w:r>
            <w:r>
              <w:rPr>
                <w:rFonts w:ascii="Times New Roman" w:hAnsi="Times New Roman" w:eastAsia="Times New Roman"/>
                <w:b w:val="0"/>
                <w:i w:val="0"/>
                <w:sz w:val="26"/>
              </w:rPr>
              <w:br/>
              <w:t>-------</w:t>
              <w:br/>
              <w:t>Số: 538/QĐ-CT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10 tháng 11 năm 2023</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bổ nhiệm cán bộ quản lý</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Bổ nhiệm ông/bà Lê Văn Cường, sinh ngày 19/4/1987, quê quán Hà Tĩnh, hiện đang công tác tại Ban Quản lý dự án, giữ chức vụ Trưởng phòng. Thời hạn giữ chức vụ là 05 năm kể từ ngày ký.</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CÔNG THƯƠNG</w:t>
              <w:br/>
              <w:t>THỨ TRƯỞNG</w:t>
            </w:r>
            <w:r>
              <w:br/>
              <w:br/>
              <w:br/>
              <w:br/>
            </w:r>
            <w:r>
              <w:rPr>
                <w:rFonts w:ascii="Times New Roman" w:hAnsi="Times New Roman" w:eastAsia="Times New Roman"/>
                <w:b/>
                <w:i w:val="0"/>
                <w:sz w:val="26"/>
              </w:rPr>
              <w:t>Hoàng Thị Em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