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BAN QUẢN LÝ DỰ ÁN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013/TTr-BQLDA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16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10 tháng 2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Giám đốc Sở ký ban hành Quy chế chi tiêu nội bộ mới (gồm 11 chương, 14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BQLDA.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