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122/TTr-CNTT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22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24 tháng 7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Hiệu trưởng ký ban hành Quy chế chi tiêu nội bộ mới (gồm 4 chương, 22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