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VỤ TỔ CHỨC CÁN BỘ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128/TTr-TCCB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5 tháng 5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TỜ TRÌNH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ban hành Quy chế chi tiêu nội bộ (sửa đổi)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BỘ TRƯỞNG BỘ CÔNG THƯƠNG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Nghị định số 60/2021/NĐ-CP về cơ chế tự chủ tài chính;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Căn cứ biên bản họp Hội nghị cán bộ công chức ngày ngày 18 tháng 5 năm 2024;</w:t>
        <w:br/>
      </w:r>
    </w:p>
    <w:p>
      <w:r>
        <w:rPr>
          <w:rFonts w:ascii="Times New Roman" w:hAnsi="Times New Roman" w:eastAsia="Times New Roman"/>
          <w:b/>
          <w:i w:val="0"/>
          <w:sz w:val="28"/>
        </w:rPr>
        <w:t>1. Sự cần thiết:</w:t>
      </w:r>
    </w:p>
    <w:p>
      <w:pPr>
        <w:jc w:val="both"/>
      </w:pPr>
      <w:r>
        <w:t>Quy chế cũ đã không còn phù hợp với các quy định mới của pháp luật và tình hình thực tế tại đơn vị.</w:t>
      </w:r>
    </w:p>
    <w:p>
      <w:r>
        <w:rPr>
          <w:rFonts w:ascii="Times New Roman" w:hAnsi="Times New Roman" w:eastAsia="Times New Roman"/>
          <w:b/>
          <w:i w:val="0"/>
          <w:sz w:val="28"/>
        </w:rPr>
        <w:t>2. Nội dung đề xuất:</w:t>
      </w:r>
    </w:p>
    <w:p>
      <w:pPr>
        <w:jc w:val="both"/>
      </w:pPr>
      <w:r>
        <w:t>Trình Bộ trưởng ký ban hành Quy chế chi tiêu nội bộ mới (gồm 3 chương, 24 điều) thay thế quy chế cũ.</w:t>
      </w:r>
    </w:p>
    <w:p>
      <w:r>
        <w:rPr>
          <w:rFonts w:ascii="Times New Roman" w:hAnsi="Times New Roman" w:eastAsia="Times New Roman"/>
          <w:b/>
          <w:i w:val="0"/>
          <w:sz w:val="28"/>
        </w:rPr>
        <w:t>3. Kiến nghị:</w:t>
      </w:r>
    </w:p>
    <w:p>
      <w:pPr>
        <w:jc w:val="both"/>
      </w:pPr>
      <w:r>
        <w:t>Kính trình xem xét, quyết định.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TCCB.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TRƯỞNG BAN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Phạm Minh 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