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162/TTr-PGDĐT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14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2 tháng 7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Quận ký ban hành Quy chế chi tiêu nội bộ mới (gồm 9 chương, 26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