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189/TTr-BQLDA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13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27 tháng 4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Giám đốc Sở ký ban hành Quy chế chi tiêu nội bộ mới (gồm 10 chương, 25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