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208/TTr-CNTT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28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30 tháng 6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Hiệu trưởng ký ban hành Quy chế chi tiêu nội bộ mới (gồm 15 chương, 19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