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360/TTr-STC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22 tháng 3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Thành phố ký ban hành Quy chế chi tiêu nội bộ mới (gồm 11 chương, 26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