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395/TTr-TCCB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9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3 tháng 8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Bộ trưởng ký ban hành Quy chế chi tiêu nội bộ mới (gồm 3 chương, 21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