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012/BGDĐT-CQLCL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414/TB-VP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51% khối lượng công việc. Tổng kinh phí đã giải ngân là 2.439.000.000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