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042/BGDĐT-VPB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609/TB-VP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57% khối lượng công việc. Tổng kinh phí đã giải ngân là 4.591.000.000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