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068/BGDĐT-CQLCL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433/TB-VP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94% khối lượng công việc. Tổng kinh phí đã giải ngân là 1.236.000.000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