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106/BGDĐT-VPB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12/KH-BGDĐT ngày 18/6/2023 về việc giải ngân vốn đầu tư công,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24/04/2024.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