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110/UBND-SXD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24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662/TB-VP về việc báo cáo tiến độ giải ngân vốn đầu tư công, ỦY BAN NHÂN DÂN TỈNH LÂM ĐỒNG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64% khối lượng công việc. Tổng kinh phí đã giải ngân là 755.000.000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