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142/SYT-PKHTC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27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giải ngân vốn đầu tư công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1.344.000.000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