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164/BGDĐT-VPB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459/TB-VP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87% khối lượng công việc. Tổng kinh phí đã giải ngân là 597.000.000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