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w:t>
              <w:br/>
              <w:t>BÁCH KHOA HÀ NỘI</w:t>
            </w:r>
            <w:r>
              <w:rPr>
                <w:rFonts w:ascii="Times New Roman" w:hAnsi="Times New Roman" w:eastAsia="Times New Roman"/>
                <w:b w:val="0"/>
                <w:i w:val="0"/>
                <w:sz w:val="26"/>
              </w:rPr>
              <w:br/>
              <w:t>-------</w:t>
              <w:br/>
              <w:t>Số: 187/ĐHBK-VC</w:t>
            </w:r>
            <w:r>
              <w:rPr>
                <w:rFonts w:ascii="Times New Roman" w:hAnsi="Times New Roman" w:eastAsia="Times New Roman"/>
                <w:b/>
                <w:i w:val="0"/>
                <w:sz w:val="24"/>
              </w:rPr>
              <w:br/>
              <w:t>V/v hướng dẫn thực hiện quy chế phòng chống dịch bệnh</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10 tháng 9 năm 2024</w:t>
            </w:r>
          </w:p>
        </w:tc>
      </w:tr>
    </w:tbl>
    <w:p/>
    <w:p>
      <w:pPr>
        <w:jc w:val="center"/>
      </w:pPr>
      <w:r>
        <w:rPr>
          <w:rFonts w:ascii="Times New Roman" w:hAnsi="Times New Roman" w:eastAsia="Times New Roman"/>
          <w:b/>
          <w:i w:val="0"/>
          <w:sz w:val="28"/>
        </w:rPr>
        <w:t>Kính gửi: Bộ Tài chính</w:t>
      </w:r>
    </w:p>
    <w:p/>
    <w:p>
      <w:pPr>
        <w:jc w:val="both"/>
      </w:pPr>
      <w:r>
        <w:rPr>
          <w:rFonts w:ascii="Times New Roman" w:hAnsi="Times New Roman" w:eastAsia="Times New Roman"/>
          <w:b w:val="0"/>
          <w:i w:val="0"/>
          <w:sz w:val="28"/>
        </w:rPr>
        <w:t>Để đảm bảo tính thống nhất trong toàn hệ thống, TRƯỜNG ĐẠI HỌC BÁCH KHOA HÀ NỘI hướng dẫn các đơn vị trực thuộc thực hiện quy chế phòng chống dịch bệnh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TRƯỜNG ĐẠI HỌC BÁCH KHOA HÀ NỘI trước ngày 25/09/2024.</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VC.</w:t>
            </w:r>
          </w:p>
        </w:tc>
        <w:tc>
          <w:tcPr>
            <w:tcW w:type="dxa" w:w="4320"/>
          </w:tcPr>
          <w:p>
            <w:pPr>
              <w:jc w:val="center"/>
            </w:pPr>
            <w:r>
              <w:rPr>
                <w:rFonts w:ascii="Times New Roman" w:hAnsi="Times New Roman" w:eastAsia="Times New Roman"/>
                <w:b/>
                <w:i w:val="0"/>
                <w:sz w:val="26"/>
              </w:rPr>
              <w:t>KT. GIÁM ĐỐC</w:t>
              <w:br/>
              <w:t>CỤC TRƯỞNG</w:t>
            </w:r>
            <w:r>
              <w:br/>
              <w:br/>
              <w:br/>
            </w:r>
            <w:r>
              <w:rPr>
                <w:rFonts w:ascii="Times New Roman" w:hAnsi="Times New Roman" w:eastAsia="Times New Roman"/>
                <w:b/>
                <w:i w:val="0"/>
                <w:sz w:val="26"/>
              </w:rPr>
              <w:t>Hoàng Thị Em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