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193/BGDĐT-VPB</w:t>
            </w:r>
            <w:r>
              <w:rPr>
                <w:rFonts w:ascii="Times New Roman" w:hAnsi="Times New Roman" w:eastAsia="Times New Roman"/>
                <w:b/>
                <w:i w:val="0"/>
                <w:sz w:val="24"/>
              </w:rPr>
              <w:br/>
              <w:t>V/v hướng dẫn thực hiện quy chế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19 tháng 12 năm 2024</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tổ chức thi tuyển công chức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03/01/2025.</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VPB.</w:t>
            </w:r>
          </w:p>
        </w:tc>
        <w:tc>
          <w:tcPr>
            <w:tcW w:type="dxa" w:w="4320"/>
          </w:tcPr>
          <w:p>
            <w:pPr>
              <w:jc w:val="center"/>
            </w:pPr>
            <w:r>
              <w:rPr>
                <w:rFonts w:ascii="Times New Roman" w:hAnsi="Times New Roman" w:eastAsia="Times New Roman"/>
                <w:b/>
                <w:i w:val="0"/>
                <w:sz w:val="26"/>
              </w:rPr>
              <w:t>TL. BỘ TRƯỞNG</w:t>
              <w:br/>
              <w:t>CỤC TRƯỞNG</w:t>
            </w:r>
            <w: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