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207/BGDĐT-CQLCL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347/TB-VP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76% khối lượng công việc. Tổng kinh phí đã giải ngân là 4.614.000.000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